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7" w:type="dxa"/>
        <w:jc w:val="center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6"/>
        <w:gridCol w:w="8931"/>
      </w:tblGrid>
      <w:tr w:rsidR="00AB229C" w:rsidRPr="00905A5F" w:rsidTr="00D449F4">
        <w:trPr>
          <w:jc w:val="center"/>
        </w:trPr>
        <w:tc>
          <w:tcPr>
            <w:tcW w:w="1276" w:type="dxa"/>
          </w:tcPr>
          <w:p w:rsidR="00AB229C" w:rsidRPr="00905A5F" w:rsidRDefault="00AB229C" w:rsidP="00905A5F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905A5F">
              <w:rPr>
                <w:rFonts w:ascii="Times New Roman" w:hAnsi="Times New Roman"/>
                <w:b/>
                <w:noProof/>
                <w:sz w:val="24"/>
                <w:lang w:eastAsia="en-US"/>
              </w:rPr>
              <w:drawing>
                <wp:inline distT="0" distB="0" distL="0" distR="0">
                  <wp:extent cx="714375" cy="781049"/>
                  <wp:effectExtent l="19050" t="0" r="9525" b="0"/>
                  <wp:docPr id="2" name="Picture 1" descr="C:\Users\Zoology\Desktop\vvs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oology\Desktop\vvs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62" cy="789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:rsidR="00AB229C" w:rsidRPr="00905A5F" w:rsidRDefault="00AB229C" w:rsidP="00905A5F">
            <w:pPr>
              <w:spacing w:line="240" w:lineRule="auto"/>
              <w:jc w:val="center"/>
              <w:rPr>
                <w:rFonts w:ascii="Times New Roman" w:hAnsi="Times New Roman"/>
                <w:b/>
                <w:color w:val="C00000"/>
                <w:sz w:val="18"/>
              </w:rPr>
            </w:pPr>
            <w:proofErr w:type="spellStart"/>
            <w:r w:rsidRPr="00905A5F">
              <w:rPr>
                <w:rFonts w:ascii="Times New Roman" w:hAnsi="Times New Roman"/>
                <w:b/>
                <w:color w:val="C00000"/>
                <w:sz w:val="18"/>
              </w:rPr>
              <w:t>Veerasaiva</w:t>
            </w:r>
            <w:proofErr w:type="spellEnd"/>
            <w:r w:rsidRPr="00905A5F">
              <w:rPr>
                <w:rFonts w:ascii="Times New Roman" w:hAnsi="Times New Roman"/>
                <w:b/>
                <w:color w:val="C00000"/>
                <w:sz w:val="18"/>
              </w:rPr>
              <w:t xml:space="preserve"> </w:t>
            </w:r>
            <w:proofErr w:type="spellStart"/>
            <w:r w:rsidRPr="00905A5F">
              <w:rPr>
                <w:rFonts w:ascii="Times New Roman" w:hAnsi="Times New Roman"/>
                <w:b/>
                <w:color w:val="C00000"/>
                <w:sz w:val="18"/>
              </w:rPr>
              <w:t>Vidyavardhaka</w:t>
            </w:r>
            <w:proofErr w:type="spellEnd"/>
            <w:r w:rsidRPr="00905A5F">
              <w:rPr>
                <w:rFonts w:ascii="Times New Roman" w:hAnsi="Times New Roman"/>
                <w:b/>
                <w:color w:val="C00000"/>
                <w:sz w:val="18"/>
              </w:rPr>
              <w:t xml:space="preserve"> </w:t>
            </w:r>
            <w:proofErr w:type="spellStart"/>
            <w:r w:rsidRPr="00905A5F">
              <w:rPr>
                <w:rFonts w:ascii="Times New Roman" w:hAnsi="Times New Roman"/>
                <w:b/>
                <w:color w:val="C00000"/>
                <w:sz w:val="18"/>
              </w:rPr>
              <w:t>Sangha’s</w:t>
            </w:r>
            <w:proofErr w:type="spellEnd"/>
            <w:r w:rsidRPr="00905A5F">
              <w:rPr>
                <w:rFonts w:ascii="Times New Roman" w:hAnsi="Times New Roman"/>
                <w:b/>
                <w:color w:val="C00000"/>
                <w:sz w:val="18"/>
              </w:rPr>
              <w:t xml:space="preserve">, </w:t>
            </w:r>
          </w:p>
          <w:p w:rsidR="00AB229C" w:rsidRPr="00905A5F" w:rsidRDefault="00AB229C" w:rsidP="00905A5F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905A5F">
              <w:rPr>
                <w:rFonts w:ascii="Times New Roman" w:hAnsi="Times New Roman"/>
                <w:b/>
                <w:color w:val="002060"/>
                <w:sz w:val="18"/>
              </w:rPr>
              <w:t>SMT. ALLUM SUMANGALAMMA MEMORIAL COLLEGE FOR WOMEN</w:t>
            </w:r>
            <w:r w:rsidRPr="00905A5F">
              <w:rPr>
                <w:rFonts w:ascii="Times New Roman" w:hAnsi="Times New Roman"/>
                <w:b/>
                <w:sz w:val="18"/>
              </w:rPr>
              <w:t>,</w:t>
            </w:r>
          </w:p>
          <w:p w:rsidR="00AB229C" w:rsidRPr="00905A5F" w:rsidRDefault="00AB229C" w:rsidP="00905A5F">
            <w:pPr>
              <w:pStyle w:val="Header"/>
              <w:jc w:val="center"/>
              <w:rPr>
                <w:rFonts w:ascii="Times New Roman" w:hAnsi="Times New Roman"/>
                <w:b/>
                <w:sz w:val="18"/>
              </w:rPr>
            </w:pPr>
            <w:r w:rsidRPr="00905A5F">
              <w:rPr>
                <w:rFonts w:ascii="Times New Roman" w:hAnsi="Times New Roman"/>
                <w:b/>
                <w:sz w:val="18"/>
              </w:rPr>
              <w:t xml:space="preserve">Sri </w:t>
            </w:r>
            <w:proofErr w:type="spellStart"/>
            <w:r w:rsidRPr="00905A5F">
              <w:rPr>
                <w:rFonts w:ascii="Times New Roman" w:hAnsi="Times New Roman"/>
                <w:b/>
                <w:sz w:val="18"/>
              </w:rPr>
              <w:t>Togari</w:t>
            </w:r>
            <w:proofErr w:type="spellEnd"/>
            <w:r w:rsidRPr="00905A5F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905A5F">
              <w:rPr>
                <w:rFonts w:ascii="Times New Roman" w:hAnsi="Times New Roman"/>
                <w:b/>
                <w:sz w:val="18"/>
              </w:rPr>
              <w:t>Veerappanavara</w:t>
            </w:r>
            <w:proofErr w:type="spellEnd"/>
            <w:r w:rsidRPr="00905A5F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905A5F">
              <w:rPr>
                <w:rFonts w:ascii="Times New Roman" w:hAnsi="Times New Roman"/>
                <w:b/>
                <w:sz w:val="18"/>
              </w:rPr>
              <w:t>Datti</w:t>
            </w:r>
            <w:proofErr w:type="spellEnd"/>
            <w:r w:rsidRPr="00905A5F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905A5F">
              <w:rPr>
                <w:rFonts w:ascii="Times New Roman" w:hAnsi="Times New Roman"/>
                <w:b/>
                <w:sz w:val="18"/>
              </w:rPr>
              <w:t>Avarana</w:t>
            </w:r>
            <w:proofErr w:type="spellEnd"/>
            <w:r w:rsidRPr="00905A5F">
              <w:rPr>
                <w:rFonts w:ascii="Times New Roman" w:hAnsi="Times New Roman"/>
                <w:b/>
                <w:sz w:val="18"/>
              </w:rPr>
              <w:t>, GANDHI NAGAR, BALLARI-583103.</w:t>
            </w:r>
          </w:p>
          <w:p w:rsidR="00AB229C" w:rsidRPr="00905A5F" w:rsidRDefault="00AB229C" w:rsidP="00905A5F">
            <w:pPr>
              <w:pStyle w:val="Header"/>
              <w:jc w:val="center"/>
              <w:rPr>
                <w:rFonts w:ascii="Times New Roman" w:hAnsi="Times New Roman"/>
                <w:b/>
                <w:color w:val="FF0000"/>
                <w:sz w:val="18"/>
              </w:rPr>
            </w:pPr>
            <w:proofErr w:type="spellStart"/>
            <w:r w:rsidRPr="00905A5F">
              <w:rPr>
                <w:rFonts w:ascii="Times New Roman" w:hAnsi="Times New Roman"/>
                <w:b/>
                <w:color w:val="FF0000"/>
                <w:sz w:val="18"/>
                <w:szCs w:val="28"/>
              </w:rPr>
              <w:t>Recognised</w:t>
            </w:r>
            <w:proofErr w:type="spellEnd"/>
            <w:r w:rsidRPr="00905A5F">
              <w:rPr>
                <w:rFonts w:ascii="Times New Roman" w:hAnsi="Times New Roman"/>
                <w:b/>
                <w:color w:val="FF0000"/>
                <w:sz w:val="18"/>
                <w:szCs w:val="28"/>
              </w:rPr>
              <w:t xml:space="preserve"> under section 2(f) and 12(B) of the UGC</w:t>
            </w:r>
            <w:r w:rsidRPr="00905A5F">
              <w:rPr>
                <w:rFonts w:ascii="Times New Roman" w:hAnsi="Times New Roman"/>
                <w:b/>
                <w:color w:val="FF0000"/>
                <w:sz w:val="18"/>
              </w:rPr>
              <w:t>, Accredited by NAAC with B</w:t>
            </w:r>
            <w:r w:rsidRPr="00905A5F">
              <w:rPr>
                <w:rFonts w:ascii="Times New Roman" w:hAnsi="Times New Roman"/>
                <w:b/>
                <w:color w:val="FF0000"/>
                <w:sz w:val="18"/>
                <w:vertAlign w:val="superscript"/>
              </w:rPr>
              <w:t xml:space="preserve">+ </w:t>
            </w:r>
            <w:r w:rsidRPr="00905A5F">
              <w:rPr>
                <w:rFonts w:ascii="Times New Roman" w:hAnsi="Times New Roman"/>
                <w:b/>
                <w:color w:val="FF0000"/>
                <w:sz w:val="18"/>
              </w:rPr>
              <w:t>Grade</w:t>
            </w:r>
          </w:p>
          <w:p w:rsidR="00AB229C" w:rsidRPr="00905A5F" w:rsidRDefault="00AB229C" w:rsidP="00905A5F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24"/>
              </w:rPr>
            </w:pPr>
            <w:r w:rsidRPr="00905A5F">
              <w:rPr>
                <w:rFonts w:ascii="Times New Roman" w:hAnsi="Times New Roman"/>
                <w:b/>
                <w:color w:val="FF0000"/>
                <w:sz w:val="18"/>
                <w:szCs w:val="24"/>
              </w:rPr>
              <w:t xml:space="preserve">(Affiliated to Karnataka State </w:t>
            </w:r>
            <w:proofErr w:type="spellStart"/>
            <w:r w:rsidRPr="00905A5F">
              <w:rPr>
                <w:rFonts w:ascii="Times New Roman" w:hAnsi="Times New Roman"/>
                <w:b/>
                <w:color w:val="FF0000"/>
                <w:sz w:val="18"/>
                <w:szCs w:val="24"/>
              </w:rPr>
              <w:t>Akkamahadevi</w:t>
            </w:r>
            <w:proofErr w:type="spellEnd"/>
            <w:r w:rsidRPr="00905A5F">
              <w:rPr>
                <w:rFonts w:ascii="Times New Roman" w:hAnsi="Times New Roman"/>
                <w:b/>
                <w:color w:val="FF0000"/>
                <w:sz w:val="18"/>
                <w:szCs w:val="24"/>
              </w:rPr>
              <w:t xml:space="preserve"> Women’s University, </w:t>
            </w:r>
            <w:proofErr w:type="spellStart"/>
            <w:r w:rsidRPr="00905A5F">
              <w:rPr>
                <w:rFonts w:ascii="Times New Roman" w:hAnsi="Times New Roman"/>
                <w:b/>
                <w:color w:val="FF0000"/>
                <w:sz w:val="18"/>
                <w:szCs w:val="24"/>
              </w:rPr>
              <w:t>Vijayapura</w:t>
            </w:r>
            <w:proofErr w:type="spellEnd"/>
            <w:r w:rsidRPr="00905A5F">
              <w:rPr>
                <w:rFonts w:ascii="Times New Roman" w:hAnsi="Times New Roman"/>
                <w:b/>
                <w:color w:val="FF0000"/>
                <w:sz w:val="18"/>
                <w:szCs w:val="24"/>
              </w:rPr>
              <w:t>)</w:t>
            </w:r>
          </w:p>
          <w:p w:rsidR="00AB229C" w:rsidRPr="00905A5F" w:rsidRDefault="00AB229C" w:rsidP="00905A5F">
            <w:pPr>
              <w:pStyle w:val="Header"/>
              <w:jc w:val="center"/>
              <w:rPr>
                <w:rFonts w:ascii="Times New Roman" w:hAnsi="Times New Roman"/>
                <w:b/>
                <w:sz w:val="18"/>
              </w:rPr>
            </w:pPr>
            <w:r w:rsidRPr="00905A5F">
              <w:rPr>
                <w:rFonts w:ascii="Times New Roman" w:hAnsi="Times New Roman"/>
                <w:b/>
                <w:sz w:val="18"/>
              </w:rPr>
              <w:t xml:space="preserve">Website: </w:t>
            </w:r>
            <w:hyperlink r:id="rId5" w:history="1">
              <w:r w:rsidRPr="00905A5F">
                <w:rPr>
                  <w:rStyle w:val="Hyperlink"/>
                  <w:rFonts w:ascii="Times New Roman" w:hAnsi="Times New Roman"/>
                  <w:b/>
                  <w:sz w:val="18"/>
                </w:rPr>
                <w:t>www.smtasmc.org</w:t>
              </w:r>
            </w:hyperlink>
            <w:r w:rsidRPr="00905A5F">
              <w:rPr>
                <w:rFonts w:ascii="Times New Roman" w:hAnsi="Times New Roman"/>
                <w:b/>
                <w:sz w:val="18"/>
              </w:rPr>
              <w:t xml:space="preserve">       Ph.:  08392-256756:  Email: smtasmc@gmail.com,  </w:t>
            </w:r>
            <w:r w:rsidRPr="00905A5F">
              <w:rPr>
                <w:rFonts w:ascii="Times New Roman" w:hAnsi="Times New Roman"/>
                <w:b/>
                <w:sz w:val="18"/>
                <w:szCs w:val="24"/>
                <w:lang w:val="en-GB"/>
              </w:rPr>
              <w:t>iqacasmc@gmail.com</w:t>
            </w:r>
          </w:p>
        </w:tc>
      </w:tr>
    </w:tbl>
    <w:p w:rsidR="00AB229C" w:rsidRPr="00905A5F" w:rsidRDefault="00AB229C" w:rsidP="00905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B229C" w:rsidRPr="00A57007" w:rsidRDefault="00AB229C" w:rsidP="00A57007">
      <w:pPr>
        <w:pBdr>
          <w:top w:val="single" w:sz="4" w:space="1" w:color="auto"/>
        </w:pBdr>
        <w:spacing w:line="240" w:lineRule="auto"/>
        <w:jc w:val="both"/>
        <w:rPr>
          <w:rFonts w:ascii="Times New Roman" w:hAnsi="Times New Roman"/>
          <w:b/>
        </w:rPr>
      </w:pPr>
      <w:r w:rsidRPr="00A57007">
        <w:rPr>
          <w:rFonts w:ascii="Times New Roman" w:hAnsi="Times New Roman"/>
          <w:b/>
        </w:rPr>
        <w:t>6.5.1 Internal Quality Assurance Cell (IQAC) has contributed significantly for institutionalizing the quality assurance strategies and processes. It reviews teaching learning process, structures &amp; methodologies of operations and learning outcomes at periodic intervals and records the incremental improvement in various activities</w:t>
      </w:r>
    </w:p>
    <w:p w:rsidR="00AB229C" w:rsidRPr="00A57007" w:rsidRDefault="00AB229C" w:rsidP="00A57007">
      <w:pPr>
        <w:spacing w:line="240" w:lineRule="auto"/>
        <w:jc w:val="both"/>
        <w:rPr>
          <w:rFonts w:ascii="Times New Roman" w:hAnsi="Times New Roman"/>
          <w:b/>
        </w:rPr>
      </w:pPr>
      <w:r w:rsidRPr="00A57007">
        <w:rPr>
          <w:rFonts w:ascii="Times New Roman" w:hAnsi="Times New Roman"/>
          <w:b/>
        </w:rPr>
        <w:t>Internal Quality Assurance Cell (IQAC) has contributed significantly for institutionalizing the quality assurance strategies and processes. It reviews teaching learning process, structures &amp; methodologies of operations and learning outcomes at periodic intervals and records the incremental improvement in various activities.</w:t>
      </w:r>
    </w:p>
    <w:p w:rsidR="00AB229C" w:rsidRPr="00A57007" w:rsidRDefault="00AB229C" w:rsidP="00A57007">
      <w:pPr>
        <w:spacing w:line="240" w:lineRule="auto"/>
        <w:jc w:val="both"/>
        <w:rPr>
          <w:rFonts w:ascii="Times New Roman" w:hAnsi="Times New Roman"/>
          <w:b/>
        </w:rPr>
      </w:pPr>
      <w:r w:rsidRPr="00A57007">
        <w:rPr>
          <w:rFonts w:ascii="Times New Roman" w:hAnsi="Times New Roman"/>
          <w:b/>
        </w:rPr>
        <w:t>Quality assurance strategies and processes:</w:t>
      </w:r>
    </w:p>
    <w:p w:rsidR="00AB229C" w:rsidRPr="00A57007" w:rsidRDefault="00AB229C" w:rsidP="00A57007">
      <w:pPr>
        <w:spacing w:line="240" w:lineRule="auto"/>
        <w:jc w:val="both"/>
        <w:rPr>
          <w:rFonts w:ascii="Times New Roman" w:hAnsi="Times New Roman"/>
          <w:b/>
        </w:rPr>
      </w:pPr>
      <w:proofErr w:type="gramStart"/>
      <w:r w:rsidRPr="00A57007">
        <w:rPr>
          <w:rFonts w:ascii="Times New Roman" w:hAnsi="Times New Roman"/>
          <w:b/>
        </w:rPr>
        <w:t>Preparation of the college timetable at the beginning of the academic year.</w:t>
      </w:r>
      <w:proofErr w:type="gramEnd"/>
      <w:r w:rsidRPr="00A57007">
        <w:rPr>
          <w:rFonts w:ascii="Times New Roman" w:hAnsi="Times New Roman"/>
          <w:b/>
        </w:rPr>
        <w:t xml:space="preserve"> </w:t>
      </w:r>
    </w:p>
    <w:p w:rsidR="00AB229C" w:rsidRPr="00A57007" w:rsidRDefault="00AB229C" w:rsidP="00A57007">
      <w:pPr>
        <w:spacing w:line="240" w:lineRule="auto"/>
        <w:jc w:val="both"/>
        <w:rPr>
          <w:rFonts w:ascii="Times New Roman" w:hAnsi="Times New Roman"/>
          <w:b/>
        </w:rPr>
      </w:pPr>
      <w:proofErr w:type="gramStart"/>
      <w:r w:rsidRPr="00A57007">
        <w:rPr>
          <w:rFonts w:ascii="Times New Roman" w:hAnsi="Times New Roman"/>
          <w:b/>
        </w:rPr>
        <w:t>Preparation of a calendar of events at the beginning of the academic year, which includes the dates of commencement of classes, tentative dates of internal assessments and other activities.</w:t>
      </w:r>
      <w:proofErr w:type="gramEnd"/>
    </w:p>
    <w:p w:rsidR="00AB229C" w:rsidRPr="00A57007" w:rsidRDefault="00AB229C" w:rsidP="00A57007">
      <w:pPr>
        <w:spacing w:line="240" w:lineRule="auto"/>
        <w:jc w:val="both"/>
        <w:rPr>
          <w:rFonts w:ascii="Times New Roman" w:hAnsi="Times New Roman"/>
          <w:b/>
        </w:rPr>
      </w:pPr>
      <w:r w:rsidRPr="00A57007">
        <w:rPr>
          <w:rFonts w:ascii="Times New Roman" w:hAnsi="Times New Roman"/>
          <w:b/>
        </w:rPr>
        <w:t>IQAC is in charge of planning all departments' special talks.</w:t>
      </w:r>
    </w:p>
    <w:p w:rsidR="00AB229C" w:rsidRPr="00A57007" w:rsidRDefault="00AB229C" w:rsidP="00A57007">
      <w:pPr>
        <w:spacing w:line="240" w:lineRule="auto"/>
        <w:jc w:val="both"/>
        <w:rPr>
          <w:rFonts w:ascii="Times New Roman" w:hAnsi="Times New Roman"/>
          <w:b/>
        </w:rPr>
      </w:pPr>
      <w:r w:rsidRPr="00A57007">
        <w:rPr>
          <w:rFonts w:ascii="Times New Roman" w:hAnsi="Times New Roman"/>
          <w:b/>
        </w:rPr>
        <w:t xml:space="preserve">IQAC is in charge of planning celebrations of national holidays and commemorative days. </w:t>
      </w:r>
    </w:p>
    <w:p w:rsidR="00AB229C" w:rsidRPr="00A57007" w:rsidRDefault="00AB229C" w:rsidP="00A57007">
      <w:pPr>
        <w:spacing w:line="240" w:lineRule="auto"/>
        <w:jc w:val="both"/>
        <w:rPr>
          <w:rFonts w:ascii="Times New Roman" w:hAnsi="Times New Roman"/>
          <w:b/>
        </w:rPr>
      </w:pPr>
      <w:proofErr w:type="gramStart"/>
      <w:r w:rsidRPr="00A57007">
        <w:rPr>
          <w:rFonts w:ascii="Times New Roman" w:hAnsi="Times New Roman"/>
          <w:b/>
        </w:rPr>
        <w:t>IQAC gathers feedback on the curriculum and the institutional infrastructure from students, teachers, alumni, and employers in order to evaluate the teaching learning process, structures, and methodology of operations.</w:t>
      </w:r>
      <w:proofErr w:type="gramEnd"/>
      <w:r w:rsidRPr="00A57007">
        <w:rPr>
          <w:rFonts w:ascii="Times New Roman" w:hAnsi="Times New Roman"/>
          <w:b/>
        </w:rPr>
        <w:t xml:space="preserve"> After reviewing the feedback, any appropriate action will be made.</w:t>
      </w:r>
    </w:p>
    <w:p w:rsidR="00AB229C" w:rsidRPr="00A57007" w:rsidRDefault="00AB229C" w:rsidP="00A57007">
      <w:pPr>
        <w:spacing w:line="240" w:lineRule="auto"/>
        <w:jc w:val="both"/>
        <w:rPr>
          <w:rFonts w:ascii="Times New Roman" w:hAnsi="Times New Roman"/>
          <w:b/>
        </w:rPr>
      </w:pPr>
      <w:r w:rsidRPr="00A57007">
        <w:rPr>
          <w:rFonts w:ascii="Times New Roman" w:hAnsi="Times New Roman"/>
          <w:b/>
        </w:rPr>
        <w:t xml:space="preserve">IQAC recommends that each department analyse all class results in order to track learning outcomes and take any required actions to enhance performance. </w:t>
      </w:r>
    </w:p>
    <w:p w:rsidR="00AB229C" w:rsidRPr="00A57007" w:rsidRDefault="00AB229C" w:rsidP="00A57007">
      <w:pPr>
        <w:spacing w:line="240" w:lineRule="auto"/>
        <w:jc w:val="both"/>
        <w:rPr>
          <w:rFonts w:ascii="Times New Roman" w:hAnsi="Times New Roman"/>
          <w:b/>
        </w:rPr>
      </w:pPr>
      <w:r w:rsidRPr="00A57007">
        <w:rPr>
          <w:rFonts w:ascii="Times New Roman" w:hAnsi="Times New Roman"/>
          <w:b/>
        </w:rPr>
        <w:t>With the NSS</w:t>
      </w:r>
      <w:r w:rsidR="00905A5F" w:rsidRPr="00A57007">
        <w:rPr>
          <w:rFonts w:ascii="Times New Roman" w:hAnsi="Times New Roman"/>
          <w:b/>
        </w:rPr>
        <w:t>, the Bharat Scouts and Guides Rangers Unit</w:t>
      </w:r>
      <w:r w:rsidRPr="00A57007">
        <w:rPr>
          <w:rFonts w:ascii="Times New Roman" w:hAnsi="Times New Roman"/>
          <w:b/>
        </w:rPr>
        <w:t xml:space="preserve"> and Youth Red Cross Wings, IQAC launches outreach and extension initiatives such as blood donation drives, health checkups, and socio-cultural awareness campaigns through special camps in the adopted villages.</w:t>
      </w:r>
    </w:p>
    <w:p w:rsidR="00AB229C" w:rsidRPr="00A57007" w:rsidRDefault="00AB229C" w:rsidP="00A57007">
      <w:pPr>
        <w:spacing w:line="240" w:lineRule="auto"/>
        <w:jc w:val="both"/>
        <w:rPr>
          <w:rFonts w:ascii="Times New Roman" w:hAnsi="Times New Roman"/>
          <w:b/>
        </w:rPr>
      </w:pPr>
      <w:r w:rsidRPr="00A57007">
        <w:rPr>
          <w:rFonts w:ascii="Times New Roman" w:hAnsi="Times New Roman"/>
          <w:b/>
        </w:rPr>
        <w:t>The institutional website has been updated with information on each IQAC initiative.</w:t>
      </w:r>
    </w:p>
    <w:p w:rsidR="00905A5F" w:rsidRPr="00A57007" w:rsidRDefault="00905A5F" w:rsidP="00A57007">
      <w:pPr>
        <w:spacing w:line="240" w:lineRule="auto"/>
        <w:jc w:val="both"/>
        <w:rPr>
          <w:rFonts w:ascii="Times New Roman" w:hAnsi="Times New Roman"/>
          <w:b/>
        </w:rPr>
      </w:pPr>
      <w:r w:rsidRPr="00A57007">
        <w:rPr>
          <w:rFonts w:ascii="Times New Roman" w:hAnsi="Times New Roman"/>
          <w:b/>
        </w:rPr>
        <w:t>College Web Links related to IQAC</w:t>
      </w:r>
    </w:p>
    <w:p w:rsidR="00905A5F" w:rsidRPr="00A57007" w:rsidRDefault="00905A5F" w:rsidP="00A57007">
      <w:pPr>
        <w:spacing w:line="240" w:lineRule="auto"/>
        <w:jc w:val="both"/>
        <w:rPr>
          <w:rFonts w:ascii="Times New Roman" w:hAnsi="Times New Roman"/>
          <w:b/>
        </w:rPr>
      </w:pPr>
      <w:hyperlink r:id="rId6" w:history="1">
        <w:r w:rsidRPr="00A57007">
          <w:rPr>
            <w:rStyle w:val="Hyperlink"/>
            <w:rFonts w:ascii="Times New Roman" w:hAnsi="Times New Roman"/>
            <w:b/>
          </w:rPr>
          <w:t>https://www.smtasmc.org/index.php/quality/iqac</w:t>
        </w:r>
      </w:hyperlink>
      <w:r w:rsidRPr="00A57007">
        <w:rPr>
          <w:rFonts w:ascii="Times New Roman" w:hAnsi="Times New Roman"/>
          <w:b/>
        </w:rPr>
        <w:t xml:space="preserve"> </w:t>
      </w:r>
    </w:p>
    <w:p w:rsidR="00905A5F" w:rsidRPr="00A57007" w:rsidRDefault="00905A5F" w:rsidP="00A57007">
      <w:pPr>
        <w:spacing w:line="240" w:lineRule="auto"/>
        <w:jc w:val="both"/>
        <w:rPr>
          <w:rFonts w:ascii="Times New Roman" w:hAnsi="Times New Roman"/>
          <w:b/>
        </w:rPr>
      </w:pPr>
      <w:hyperlink r:id="rId7" w:history="1">
        <w:r w:rsidRPr="00A57007">
          <w:rPr>
            <w:rStyle w:val="Hyperlink"/>
            <w:rFonts w:ascii="Times New Roman" w:hAnsi="Times New Roman"/>
            <w:b/>
          </w:rPr>
          <w:t>https://www.smtasmc.org/index.php/iqac-home-left</w:t>
        </w:r>
      </w:hyperlink>
      <w:r w:rsidRPr="00A57007">
        <w:rPr>
          <w:rFonts w:ascii="Times New Roman" w:hAnsi="Times New Roman"/>
          <w:b/>
        </w:rPr>
        <w:t xml:space="preserve"> </w:t>
      </w:r>
    </w:p>
    <w:p w:rsidR="00905A5F" w:rsidRPr="00A57007" w:rsidRDefault="00905A5F" w:rsidP="00A57007">
      <w:pPr>
        <w:spacing w:line="240" w:lineRule="auto"/>
        <w:jc w:val="both"/>
        <w:rPr>
          <w:rFonts w:ascii="Times New Roman" w:hAnsi="Times New Roman"/>
          <w:b/>
        </w:rPr>
      </w:pPr>
      <w:hyperlink r:id="rId8" w:history="1">
        <w:r w:rsidRPr="00A57007">
          <w:rPr>
            <w:rStyle w:val="Hyperlink"/>
            <w:rFonts w:ascii="Times New Roman" w:hAnsi="Times New Roman"/>
            <w:b/>
          </w:rPr>
          <w:t>https://www.smtasmc.org/index.php/cells-committees</w:t>
        </w:r>
      </w:hyperlink>
      <w:r w:rsidRPr="00A57007">
        <w:rPr>
          <w:rFonts w:ascii="Times New Roman" w:hAnsi="Times New Roman"/>
          <w:b/>
        </w:rPr>
        <w:t xml:space="preserve"> </w:t>
      </w:r>
    </w:p>
    <w:p w:rsidR="00905A5F" w:rsidRPr="00A57007" w:rsidRDefault="00905A5F" w:rsidP="00A57007">
      <w:pPr>
        <w:pStyle w:val="NormalWeb"/>
        <w:shd w:val="clear" w:color="auto" w:fill="FFFFFF"/>
        <w:spacing w:before="0" w:beforeAutospacing="0"/>
        <w:jc w:val="both"/>
        <w:rPr>
          <w:rFonts w:cs="Arial"/>
          <w:b/>
          <w:color w:val="252525"/>
          <w:sz w:val="22"/>
        </w:rPr>
      </w:pPr>
      <w:hyperlink r:id="rId9" w:history="1">
        <w:r w:rsidRPr="00A57007">
          <w:rPr>
            <w:rStyle w:val="Hyperlink"/>
            <w:rFonts w:eastAsiaTheme="minorEastAsia" w:cs="Arial"/>
            <w:b/>
            <w:bCs/>
            <w:color w:val="0345BF"/>
            <w:sz w:val="22"/>
            <w:szCs w:val="28"/>
          </w:rPr>
          <w:t>College Events &amp; Activities organized </w:t>
        </w:r>
      </w:hyperlink>
      <w:r w:rsidRPr="00A57007">
        <w:rPr>
          <w:rStyle w:val="Strong"/>
          <w:rFonts w:cs="Arial"/>
          <w:color w:val="252525"/>
          <w:sz w:val="22"/>
          <w:szCs w:val="28"/>
        </w:rPr>
        <w:t>- (2017-2023)</w:t>
      </w:r>
    </w:p>
    <w:p w:rsidR="00905A5F" w:rsidRPr="00A57007" w:rsidRDefault="00905A5F" w:rsidP="00A57007">
      <w:pPr>
        <w:pStyle w:val="NormalWeb"/>
        <w:shd w:val="clear" w:color="auto" w:fill="FFFFFF"/>
        <w:spacing w:before="0" w:beforeAutospacing="0"/>
        <w:jc w:val="both"/>
        <w:rPr>
          <w:rStyle w:val="Strong"/>
          <w:rFonts w:cs="Arial"/>
          <w:color w:val="252525"/>
          <w:sz w:val="22"/>
          <w:szCs w:val="20"/>
        </w:rPr>
      </w:pPr>
      <w:hyperlink r:id="rId10" w:history="1">
        <w:r w:rsidRPr="00A57007">
          <w:rPr>
            <w:rStyle w:val="Hyperlink"/>
            <w:rFonts w:eastAsiaTheme="minorEastAsia" w:cs="Arial"/>
            <w:b/>
            <w:bCs/>
            <w:color w:val="0345BF"/>
            <w:sz w:val="22"/>
            <w:szCs w:val="20"/>
          </w:rPr>
          <w:t xml:space="preserve">- Smt. </w:t>
        </w:r>
        <w:proofErr w:type="spellStart"/>
        <w:r w:rsidRPr="00A57007">
          <w:rPr>
            <w:rStyle w:val="Hyperlink"/>
            <w:rFonts w:eastAsiaTheme="minorEastAsia" w:cs="Arial"/>
            <w:b/>
            <w:bCs/>
            <w:color w:val="0345BF"/>
            <w:sz w:val="22"/>
            <w:szCs w:val="20"/>
          </w:rPr>
          <w:t>Allum</w:t>
        </w:r>
        <w:proofErr w:type="spellEnd"/>
        <w:r w:rsidRPr="00A57007">
          <w:rPr>
            <w:rStyle w:val="Hyperlink"/>
            <w:rFonts w:eastAsiaTheme="minorEastAsia" w:cs="Arial"/>
            <w:b/>
            <w:bCs/>
            <w:color w:val="0345BF"/>
            <w:sz w:val="22"/>
            <w:szCs w:val="20"/>
          </w:rPr>
          <w:t xml:space="preserve"> </w:t>
        </w:r>
        <w:proofErr w:type="spellStart"/>
        <w:r w:rsidRPr="00A57007">
          <w:rPr>
            <w:rStyle w:val="Hyperlink"/>
            <w:rFonts w:eastAsiaTheme="minorEastAsia" w:cs="Arial"/>
            <w:b/>
            <w:bCs/>
            <w:color w:val="0345BF"/>
            <w:sz w:val="22"/>
            <w:szCs w:val="20"/>
          </w:rPr>
          <w:t>Sumangalamma</w:t>
        </w:r>
        <w:proofErr w:type="spellEnd"/>
        <w:r w:rsidRPr="00A57007">
          <w:rPr>
            <w:rStyle w:val="Hyperlink"/>
            <w:rFonts w:eastAsiaTheme="minorEastAsia" w:cs="Arial"/>
            <w:b/>
            <w:bCs/>
            <w:color w:val="0345BF"/>
            <w:sz w:val="22"/>
            <w:szCs w:val="20"/>
          </w:rPr>
          <w:t xml:space="preserve"> Memorial College for Women (smtasmc.org)</w:t>
        </w:r>
      </w:hyperlink>
    </w:p>
    <w:p w:rsidR="00B852AC" w:rsidRPr="00A57007" w:rsidRDefault="00905A5F" w:rsidP="00A57007">
      <w:pPr>
        <w:pStyle w:val="NormalWeb"/>
        <w:shd w:val="clear" w:color="auto" w:fill="FFFFFF"/>
        <w:spacing w:before="0" w:beforeAutospacing="0"/>
        <w:jc w:val="both"/>
        <w:rPr>
          <w:b/>
          <w:sz w:val="22"/>
        </w:rPr>
      </w:pPr>
      <w:hyperlink r:id="rId11" w:history="1">
        <w:r w:rsidRPr="00A57007">
          <w:rPr>
            <w:rStyle w:val="Hyperlink"/>
            <w:rFonts w:cs="Arial"/>
            <w:b/>
            <w:sz w:val="22"/>
          </w:rPr>
          <w:t>https://www.smtasmc.org/index.php/latest-news-home-left</w:t>
        </w:r>
      </w:hyperlink>
      <w:r w:rsidRPr="00A57007">
        <w:rPr>
          <w:rFonts w:cs="Arial"/>
          <w:b/>
          <w:color w:val="252525"/>
          <w:sz w:val="22"/>
        </w:rPr>
        <w:t xml:space="preserve"> </w:t>
      </w:r>
    </w:p>
    <w:sectPr w:rsidR="00B852AC" w:rsidRPr="00A57007" w:rsidSect="00905A5F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29C"/>
    <w:rsid w:val="0023370E"/>
    <w:rsid w:val="00905A5F"/>
    <w:rsid w:val="009F218E"/>
    <w:rsid w:val="00A57007"/>
    <w:rsid w:val="00AB229C"/>
    <w:rsid w:val="00B852AC"/>
    <w:rsid w:val="00FC5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29C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29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229C"/>
    <w:pPr>
      <w:tabs>
        <w:tab w:val="center" w:pos="4680"/>
        <w:tab w:val="right" w:pos="9360"/>
      </w:tabs>
      <w:spacing w:after="0" w:line="240" w:lineRule="auto"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B229C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AB22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29C"/>
    <w:rPr>
      <w:rFonts w:ascii="Tahoma" w:eastAsiaTheme="minorEastAsia" w:hAnsi="Tahoma" w:cs="Tahoma"/>
      <w:sz w:val="16"/>
      <w:szCs w:val="16"/>
      <w:lang w:eastAsia="en-IN"/>
    </w:rPr>
  </w:style>
  <w:style w:type="paragraph" w:styleId="NormalWeb">
    <w:name w:val="Normal (Web)"/>
    <w:basedOn w:val="Normal"/>
    <w:uiPriority w:val="99"/>
    <w:unhideWhenUsed/>
    <w:rsid w:val="00905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05A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tasmc.org/index.php/cells-committe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mtasmc.org/index.php/iqac-home-lef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tasmc.org/index.php/quality/iqac" TargetMode="External"/><Relationship Id="rId11" Type="http://schemas.openxmlformats.org/officeDocument/2006/relationships/hyperlink" Target="https://www.smtasmc.org/index.php/latest-news-home-left" TargetMode="External"/><Relationship Id="rId5" Type="http://schemas.openxmlformats.org/officeDocument/2006/relationships/hyperlink" Target="http://www.smtasmc.org" TargetMode="External"/><Relationship Id="rId10" Type="http://schemas.openxmlformats.org/officeDocument/2006/relationships/hyperlink" Target="https://smtasmc.org/oldsite-eng/index.php?option=com_content&amp;view=category&amp;id=45&amp;Itemid=14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mtasmc.org/oldsite-eng/index.php?option=com_content&amp;view=category&amp;id=45&amp;Itemid=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2024-01-29T06:17:00Z</cp:lastPrinted>
  <dcterms:created xsi:type="dcterms:W3CDTF">2024-01-29T06:17:00Z</dcterms:created>
  <dcterms:modified xsi:type="dcterms:W3CDTF">2024-01-29T06:17:00Z</dcterms:modified>
</cp:coreProperties>
</file>